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283C" w:rsidRPr="00567A1E" w:rsidRDefault="00567A1E">
      <w:pPr>
        <w:rPr>
          <w:rFonts w:ascii="Arial" w:hAnsi="Arial" w:cs="Arial"/>
          <w:b/>
          <w:color w:val="000000"/>
          <w:u w:val="single"/>
        </w:rPr>
      </w:pPr>
      <w:r>
        <w:rPr>
          <w:rFonts w:ascii="Arial" w:hAnsi="Arial" w:cs="Arial"/>
          <w:b/>
          <w:color w:val="000000"/>
          <w:u w:val="single"/>
        </w:rPr>
        <w:t>Overview</w:t>
      </w:r>
    </w:p>
    <w:p w:rsidR="00C67DD9" w:rsidRDefault="00D94232">
      <w:pPr>
        <w:rPr>
          <w:rFonts w:ascii="Arial" w:hAnsi="Arial" w:cs="Arial"/>
          <w:color w:val="000000"/>
        </w:rPr>
      </w:pPr>
      <w:r>
        <w:rPr>
          <w:rFonts w:ascii="Arial" w:hAnsi="Arial" w:cs="Arial"/>
          <w:noProof/>
          <w:color w:val="000000"/>
        </w:rPr>
        <w:drawing>
          <wp:anchor distT="0" distB="0" distL="114300" distR="114300" simplePos="0" relativeHeight="251659264" behindDoc="1" locked="0" layoutInCell="1" allowOverlap="1">
            <wp:simplePos x="0" y="0"/>
            <wp:positionH relativeFrom="column">
              <wp:posOffset>3906520</wp:posOffset>
            </wp:positionH>
            <wp:positionV relativeFrom="paragraph">
              <wp:posOffset>95885</wp:posOffset>
            </wp:positionV>
            <wp:extent cx="1838960" cy="1934210"/>
            <wp:effectExtent l="76200" t="0" r="46990" b="0"/>
            <wp:wrapTight wrapText="bothSides">
              <wp:wrapPolygon edited="0">
                <wp:start x="21488" y="-319"/>
                <wp:lineTo x="231" y="-319"/>
                <wp:lineTo x="231" y="21593"/>
                <wp:lineTo x="21488" y="21593"/>
                <wp:lineTo x="21488" y="-319"/>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l="33795" t="3927" r="1350"/>
                    <a:stretch>
                      <a:fillRect/>
                    </a:stretch>
                  </pic:blipFill>
                  <pic:spPr bwMode="auto">
                    <a:xfrm rot="16200000">
                      <a:off x="0" y="0"/>
                      <a:ext cx="1838960" cy="1934210"/>
                    </a:xfrm>
                    <a:prstGeom prst="rect">
                      <a:avLst/>
                    </a:prstGeom>
                    <a:noFill/>
                    <a:ln w="9525">
                      <a:noFill/>
                      <a:miter lim="800000"/>
                      <a:headEnd/>
                      <a:tailEnd/>
                    </a:ln>
                  </pic:spPr>
                </pic:pic>
              </a:graphicData>
            </a:graphic>
          </wp:anchor>
        </w:drawing>
      </w:r>
      <w:r w:rsidR="00567A1E">
        <w:rPr>
          <w:rFonts w:ascii="Arial" w:hAnsi="Arial" w:cs="Arial"/>
          <w:color w:val="000000"/>
        </w:rPr>
        <w:t>WisDOT has developed Emergency Alternate Route G</w:t>
      </w:r>
      <w:r w:rsidR="0037283C" w:rsidRPr="0037283C">
        <w:rPr>
          <w:rFonts w:ascii="Arial" w:hAnsi="Arial" w:cs="Arial"/>
          <w:color w:val="000000"/>
        </w:rPr>
        <w:t xml:space="preserve">uides (EARG) for a number of </w:t>
      </w:r>
      <w:r w:rsidR="0097395F">
        <w:rPr>
          <w:rFonts w:ascii="Arial" w:hAnsi="Arial" w:cs="Arial"/>
          <w:color w:val="000000"/>
        </w:rPr>
        <w:t xml:space="preserve">Interstate </w:t>
      </w:r>
      <w:r w:rsidR="0037283C" w:rsidRPr="0037283C">
        <w:rPr>
          <w:rFonts w:ascii="Arial" w:hAnsi="Arial" w:cs="Arial"/>
          <w:color w:val="000000"/>
        </w:rPr>
        <w:t xml:space="preserve">corridors throughout the state. EARGs typically include a map of the emergency alternate route and identify existing and/or required traffic control devices, location of closure points, and guidance on PCMS location and messages. Each EARG also includes emergency contact information and </w:t>
      </w:r>
      <w:r w:rsidR="0097395F">
        <w:rPr>
          <w:rFonts w:ascii="Arial" w:hAnsi="Arial" w:cs="Arial"/>
          <w:color w:val="000000"/>
        </w:rPr>
        <w:t>STOC</w:t>
      </w:r>
      <w:r w:rsidR="0037283C" w:rsidRPr="0037283C">
        <w:rPr>
          <w:rFonts w:ascii="Arial" w:hAnsi="Arial" w:cs="Arial"/>
          <w:color w:val="000000"/>
        </w:rPr>
        <w:t xml:space="preserve"> responsibilities </w:t>
      </w:r>
      <w:r w:rsidR="004E7394">
        <w:rPr>
          <w:rFonts w:ascii="Arial" w:hAnsi="Arial" w:cs="Arial"/>
          <w:color w:val="000000"/>
        </w:rPr>
        <w:t>during</w:t>
      </w:r>
      <w:r w:rsidR="0037283C" w:rsidRPr="0037283C">
        <w:rPr>
          <w:rFonts w:ascii="Arial" w:hAnsi="Arial" w:cs="Arial"/>
          <w:color w:val="000000"/>
        </w:rPr>
        <w:t xml:space="preserve"> deployment of the routes</w:t>
      </w:r>
      <w:r w:rsidR="004E7394">
        <w:rPr>
          <w:rFonts w:ascii="Arial" w:hAnsi="Arial" w:cs="Arial"/>
          <w:color w:val="000000"/>
        </w:rPr>
        <w:t>,</w:t>
      </w:r>
      <w:r w:rsidR="0037283C" w:rsidRPr="0037283C">
        <w:rPr>
          <w:rFonts w:ascii="Arial" w:hAnsi="Arial" w:cs="Arial"/>
          <w:color w:val="000000"/>
        </w:rPr>
        <w:t xml:space="preserve"> along with a written description of the route to assist </w:t>
      </w:r>
      <w:r w:rsidR="0097395F">
        <w:rPr>
          <w:rFonts w:ascii="Arial" w:hAnsi="Arial" w:cs="Arial"/>
          <w:color w:val="000000"/>
        </w:rPr>
        <w:t>personnel</w:t>
      </w:r>
      <w:r w:rsidR="0037283C" w:rsidRPr="0037283C">
        <w:rPr>
          <w:rFonts w:ascii="Arial" w:hAnsi="Arial" w:cs="Arial"/>
          <w:color w:val="000000"/>
        </w:rPr>
        <w:t xml:space="preserve"> with disseminating information to the motoring public. It is important for </w:t>
      </w:r>
      <w:r w:rsidR="0037283C">
        <w:rPr>
          <w:rFonts w:ascii="Arial" w:hAnsi="Arial" w:cs="Arial"/>
          <w:color w:val="000000"/>
        </w:rPr>
        <w:t xml:space="preserve">control room operators </w:t>
      </w:r>
      <w:r w:rsidR="0037283C" w:rsidRPr="0037283C">
        <w:rPr>
          <w:rFonts w:ascii="Arial" w:hAnsi="Arial" w:cs="Arial"/>
          <w:color w:val="000000"/>
        </w:rPr>
        <w:t>to be aware of the WisDOT EARGs</w:t>
      </w:r>
      <w:r w:rsidR="0097395F">
        <w:rPr>
          <w:rFonts w:ascii="Arial" w:hAnsi="Arial" w:cs="Arial"/>
          <w:color w:val="000000"/>
        </w:rPr>
        <w:t xml:space="preserve"> for each region</w:t>
      </w:r>
      <w:r w:rsidR="0037283C">
        <w:rPr>
          <w:rFonts w:ascii="Arial" w:hAnsi="Arial" w:cs="Arial"/>
          <w:color w:val="000000"/>
        </w:rPr>
        <w:t>.</w:t>
      </w:r>
      <w:r w:rsidR="004A6002">
        <w:rPr>
          <w:rFonts w:ascii="Arial" w:hAnsi="Arial" w:cs="Arial"/>
          <w:color w:val="000000"/>
        </w:rPr>
        <w:t xml:space="preserve"> </w:t>
      </w:r>
    </w:p>
    <w:p w:rsidR="0037283C" w:rsidRDefault="00987138">
      <w:pPr>
        <w:rPr>
          <w:rFonts w:ascii="Arial" w:hAnsi="Arial" w:cs="Arial"/>
          <w:color w:val="000000"/>
        </w:rPr>
      </w:pPr>
      <w:r>
        <w:rPr>
          <w:rFonts w:ascii="Arial" w:hAnsi="Arial" w:cs="Arial"/>
          <w:noProof/>
          <w:color w:val="000000"/>
        </w:rPr>
        <w:drawing>
          <wp:anchor distT="0" distB="0" distL="114300" distR="114300" simplePos="0" relativeHeight="251658240" behindDoc="1" locked="0" layoutInCell="1" allowOverlap="1">
            <wp:simplePos x="0" y="0"/>
            <wp:positionH relativeFrom="column">
              <wp:posOffset>19050</wp:posOffset>
            </wp:positionH>
            <wp:positionV relativeFrom="paragraph">
              <wp:posOffset>433705</wp:posOffset>
            </wp:positionV>
            <wp:extent cx="2059940" cy="1270000"/>
            <wp:effectExtent l="19050" t="0" r="0" b="0"/>
            <wp:wrapTight wrapText="bothSides">
              <wp:wrapPolygon edited="0">
                <wp:start x="-200" y="0"/>
                <wp:lineTo x="-200" y="21384"/>
                <wp:lineTo x="21573" y="21384"/>
                <wp:lineTo x="21573" y="0"/>
                <wp:lineTo x="-20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2059940" cy="1270000"/>
                    </a:xfrm>
                    <a:prstGeom prst="rect">
                      <a:avLst/>
                    </a:prstGeom>
                    <a:noFill/>
                    <a:ln w="9525">
                      <a:noFill/>
                      <a:miter lim="800000"/>
                      <a:headEnd/>
                      <a:tailEnd/>
                    </a:ln>
                  </pic:spPr>
                </pic:pic>
              </a:graphicData>
            </a:graphic>
          </wp:anchor>
        </w:drawing>
      </w:r>
      <w:r w:rsidR="0037283C">
        <w:rPr>
          <w:rFonts w:ascii="Arial" w:hAnsi="Arial" w:cs="Arial"/>
          <w:color w:val="000000"/>
        </w:rPr>
        <w:t>The RIMC, working closely with t</w:t>
      </w:r>
      <w:r w:rsidR="0037283C" w:rsidRPr="0037283C">
        <w:rPr>
          <w:rFonts w:ascii="Arial" w:hAnsi="Arial" w:cs="Arial"/>
          <w:color w:val="000000"/>
        </w:rPr>
        <w:t>he Incident Commander</w:t>
      </w:r>
      <w:r w:rsidR="0037283C">
        <w:rPr>
          <w:rFonts w:ascii="Arial" w:hAnsi="Arial" w:cs="Arial"/>
          <w:color w:val="000000"/>
        </w:rPr>
        <w:t>,</w:t>
      </w:r>
      <w:r w:rsidR="0037283C" w:rsidRPr="0037283C">
        <w:rPr>
          <w:rFonts w:ascii="Arial" w:hAnsi="Arial" w:cs="Arial"/>
          <w:color w:val="000000"/>
        </w:rPr>
        <w:t xml:space="preserve"> </w:t>
      </w:r>
      <w:r w:rsidR="00836545">
        <w:rPr>
          <w:rFonts w:ascii="Arial" w:hAnsi="Arial" w:cs="Arial"/>
          <w:color w:val="000000"/>
        </w:rPr>
        <w:t>will consider</w:t>
      </w:r>
      <w:r w:rsidR="0037283C" w:rsidRPr="0037283C">
        <w:rPr>
          <w:rFonts w:ascii="Arial" w:hAnsi="Arial" w:cs="Arial"/>
          <w:color w:val="000000"/>
        </w:rPr>
        <w:t xml:space="preserve"> a number of factors before emergency alter</w:t>
      </w:r>
      <w:r w:rsidR="0037283C">
        <w:rPr>
          <w:rFonts w:ascii="Arial" w:hAnsi="Arial" w:cs="Arial"/>
          <w:color w:val="000000"/>
        </w:rPr>
        <w:t>nate route deployment including</w:t>
      </w:r>
      <w:r w:rsidR="0037283C" w:rsidRPr="0037283C">
        <w:rPr>
          <w:rFonts w:ascii="Arial" w:hAnsi="Arial" w:cs="Arial"/>
          <w:color w:val="000000"/>
        </w:rPr>
        <w:t xml:space="preserve"> the incident type, its expected duration, and anticipated traffic impacts on the affected highway and the alternate route. Generally speaking, these routes are only used during an incident or emergency and not as alternates to bypass recurring traffic congestion.</w:t>
      </w:r>
    </w:p>
    <w:p w:rsidR="004A6002" w:rsidRDefault="00987138">
      <w:pPr>
        <w:rPr>
          <w:rFonts w:ascii="Arial" w:hAnsi="Arial" w:cs="Arial"/>
        </w:rPr>
      </w:pPr>
      <w:r w:rsidRPr="00987138">
        <w:rPr>
          <w:rFonts w:ascii="Arial" w:hAnsi="Arial" w:cs="Arial"/>
        </w:rPr>
        <w:t>In some locations, permanent static signing</w:t>
      </w:r>
      <w:r>
        <w:rPr>
          <w:rFonts w:ascii="Arial" w:hAnsi="Arial" w:cs="Arial"/>
        </w:rPr>
        <w:t xml:space="preserve"> </w:t>
      </w:r>
      <w:r w:rsidRPr="00987138">
        <w:rPr>
          <w:rFonts w:ascii="Arial" w:hAnsi="Arial" w:cs="Arial"/>
        </w:rPr>
        <w:t>has been installed to facilitate emergency alternate route deployment and designation. Static signing guides motorists along the route and can reduce or eliminate the amount of resources needed to implement the rou</w:t>
      </w:r>
      <w:r w:rsidR="004A6002">
        <w:rPr>
          <w:rFonts w:ascii="Arial" w:hAnsi="Arial" w:cs="Arial"/>
        </w:rPr>
        <w:t>te.</w:t>
      </w:r>
    </w:p>
    <w:p w:rsidR="00567A1E" w:rsidRDefault="00567A1E">
      <w:pPr>
        <w:rPr>
          <w:rFonts w:ascii="Arial" w:hAnsi="Arial" w:cs="Arial"/>
        </w:rPr>
      </w:pPr>
    </w:p>
    <w:p w:rsidR="00567A1E" w:rsidRDefault="00567A1E">
      <w:pPr>
        <w:rPr>
          <w:rFonts w:ascii="Arial" w:hAnsi="Arial" w:cs="Arial"/>
          <w:b/>
          <w:u w:val="single"/>
        </w:rPr>
      </w:pPr>
      <w:r w:rsidRPr="00567A1E">
        <w:rPr>
          <w:rFonts w:ascii="Arial" w:hAnsi="Arial" w:cs="Arial"/>
          <w:b/>
          <w:u w:val="single"/>
        </w:rPr>
        <w:t>Accessing Emergency Alternate Route Guides</w:t>
      </w:r>
    </w:p>
    <w:p w:rsidR="00567A1E" w:rsidRDefault="00567A1E">
      <w:pPr>
        <w:rPr>
          <w:rFonts w:ascii="Arial" w:hAnsi="Arial" w:cs="Arial"/>
        </w:rPr>
      </w:pPr>
      <w:r>
        <w:rPr>
          <w:rFonts w:ascii="Arial" w:hAnsi="Arial" w:cs="Arial"/>
        </w:rPr>
        <w:t>Hard copies of Emergency Alternate Route Guides can be found on the bookshelf in the front of the control room. In addition, digital copies can be located by going to the ETO Repository, hovering over ‘Manuals’ and selecting Interstate Alternate Route Guides.</w:t>
      </w:r>
    </w:p>
    <w:p w:rsidR="00567A1E" w:rsidRDefault="00567A1E">
      <w:pPr>
        <w:rPr>
          <w:rFonts w:ascii="Arial" w:hAnsi="Arial" w:cs="Arial"/>
        </w:rPr>
      </w:pPr>
      <w:r>
        <w:rPr>
          <w:noProof/>
        </w:rPr>
        <w:drawing>
          <wp:inline distT="0" distB="0" distL="0" distR="0">
            <wp:extent cx="5159342" cy="1048791"/>
            <wp:effectExtent l="19050" t="19050" r="22258" b="18009"/>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1789" t="6711" b="68277"/>
                    <a:stretch>
                      <a:fillRect/>
                    </a:stretch>
                  </pic:blipFill>
                  <pic:spPr bwMode="auto">
                    <a:xfrm>
                      <a:off x="0" y="0"/>
                      <a:ext cx="5159342" cy="1048791"/>
                    </a:xfrm>
                    <a:prstGeom prst="rect">
                      <a:avLst/>
                    </a:prstGeom>
                    <a:noFill/>
                    <a:ln w="9525">
                      <a:solidFill>
                        <a:schemeClr val="tx1">
                          <a:lumMod val="65000"/>
                          <a:lumOff val="35000"/>
                        </a:schemeClr>
                      </a:solidFill>
                      <a:miter lim="800000"/>
                      <a:headEnd/>
                      <a:tailEnd/>
                    </a:ln>
                  </pic:spPr>
                </pic:pic>
              </a:graphicData>
            </a:graphic>
          </wp:inline>
        </w:drawing>
      </w:r>
    </w:p>
    <w:p w:rsidR="00567A1E" w:rsidRDefault="00D94232">
      <w:pPr>
        <w:rPr>
          <w:rFonts w:ascii="Arial" w:hAnsi="Arial" w:cs="Arial"/>
        </w:rPr>
      </w:pPr>
      <w:r>
        <w:rPr>
          <w:rFonts w:ascii="Arial" w:hAnsi="Arial" w:cs="Arial"/>
        </w:rPr>
        <w:lastRenderedPageBreak/>
        <w:t>From there you will be taken to an interactive map of the state with clickable regions. Clicking the various regions will take you to a page with links to corridors for which there are Emergency Alt Route Guides. Select the appropriate corridor.</w:t>
      </w:r>
    </w:p>
    <w:p w:rsidR="00D94232" w:rsidRDefault="00D94232">
      <w:pPr>
        <w:rPr>
          <w:rFonts w:ascii="Arial" w:hAnsi="Arial" w:cs="Arial"/>
        </w:rPr>
      </w:pPr>
      <w:r>
        <w:rPr>
          <w:rFonts w:ascii="Arial" w:hAnsi="Arial" w:cs="Arial"/>
        </w:rPr>
        <w:t xml:space="preserve">Some of the Emergency Alt Route </w:t>
      </w:r>
      <w:r w:rsidR="00596789">
        <w:rPr>
          <w:rFonts w:ascii="Arial" w:hAnsi="Arial" w:cs="Arial"/>
        </w:rPr>
        <w:t>Guides</w:t>
      </w:r>
      <w:r>
        <w:rPr>
          <w:rFonts w:ascii="Arial" w:hAnsi="Arial" w:cs="Arial"/>
        </w:rPr>
        <w:t xml:space="preserve"> are in interactive PDF form (which allows clicking various links) while others are standard PDF. In addition, many of the routes are color coded. Selecting the route you would like to view (i.e. red route, pink route, etc) will take you to information about that route such as DMS/PCMS sign recommendations, local contact information and visuals of the detour route. An example is pictured below.</w:t>
      </w:r>
    </w:p>
    <w:p w:rsidR="00D94232" w:rsidRDefault="00D94232">
      <w:pPr>
        <w:rPr>
          <w:rFonts w:ascii="Arial" w:hAnsi="Arial" w:cs="Arial"/>
        </w:rPr>
      </w:pPr>
      <w:r>
        <w:rPr>
          <w:noProof/>
        </w:rPr>
        <w:drawing>
          <wp:inline distT="0" distB="0" distL="0" distR="0">
            <wp:extent cx="5832475" cy="4350619"/>
            <wp:effectExtent l="19050" t="19050" r="15875" b="11831"/>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1787" t="6517" b="1426"/>
                    <a:stretch>
                      <a:fillRect/>
                    </a:stretch>
                  </pic:blipFill>
                  <pic:spPr bwMode="auto">
                    <a:xfrm>
                      <a:off x="0" y="0"/>
                      <a:ext cx="5832475" cy="4350619"/>
                    </a:xfrm>
                    <a:prstGeom prst="rect">
                      <a:avLst/>
                    </a:prstGeom>
                    <a:noFill/>
                    <a:ln w="9525">
                      <a:solidFill>
                        <a:schemeClr val="tx1">
                          <a:lumMod val="65000"/>
                          <a:lumOff val="35000"/>
                        </a:schemeClr>
                      </a:solidFill>
                      <a:miter lim="800000"/>
                      <a:headEnd/>
                      <a:tailEnd/>
                    </a:ln>
                  </pic:spPr>
                </pic:pic>
              </a:graphicData>
            </a:graphic>
          </wp:inline>
        </w:drawing>
      </w:r>
    </w:p>
    <w:p w:rsidR="00D94232" w:rsidRDefault="00D94232">
      <w:pPr>
        <w:rPr>
          <w:rFonts w:ascii="Arial" w:hAnsi="Arial" w:cs="Arial"/>
        </w:rPr>
      </w:pPr>
      <w:r>
        <w:rPr>
          <w:rFonts w:ascii="Arial" w:hAnsi="Arial" w:cs="Arial"/>
        </w:rPr>
        <w:t>It is important to note that the activation of an alternate route will come from direction of the RIMC, State Patrol, Incident Commander or other DOT staff. Control Room Operators should not activate emergency alternate routes without direction from one of those agencies / individuals.</w:t>
      </w:r>
    </w:p>
    <w:p w:rsidR="00596789" w:rsidRPr="00567A1E" w:rsidRDefault="00596789">
      <w:pPr>
        <w:rPr>
          <w:rFonts w:ascii="Arial" w:hAnsi="Arial" w:cs="Arial"/>
        </w:rPr>
      </w:pPr>
      <w:r>
        <w:rPr>
          <w:rFonts w:ascii="Arial" w:hAnsi="Arial" w:cs="Arial"/>
        </w:rPr>
        <w:t>If there any questions on whether an emergency alt route should be activated, please contact your supervisor or manager.</w:t>
      </w:r>
    </w:p>
    <w:sectPr w:rsidR="00596789" w:rsidRPr="00567A1E" w:rsidSect="00C67DD9">
      <w:headerReference w:type="default" r:id="rId13"/>
      <w:footerReference w:type="default" r:id="rId1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7A1E" w:rsidRDefault="00567A1E" w:rsidP="00567A1E">
      <w:pPr>
        <w:spacing w:after="0" w:line="240" w:lineRule="auto"/>
      </w:pPr>
      <w:r>
        <w:separator/>
      </w:r>
    </w:p>
  </w:endnote>
  <w:endnote w:type="continuationSeparator" w:id="0">
    <w:p w:rsidR="00567A1E" w:rsidRDefault="00567A1E" w:rsidP="00567A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7A1E" w:rsidRDefault="00567A1E" w:rsidP="00567A1E">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5121" type="#_x0000_t202" style="position:absolute;margin-left:389.85pt;margin-top:14.3pt;width:80.4pt;height:22.5pt;z-index:251660288;mso-width-relative:margin;mso-height-relative:margin" fillcolor="#039" strokecolor="#c00">
          <v:textbox style="mso-next-textbox:#_x0000_s5121">
            <w:txbxContent>
              <w:p w:rsidR="00567A1E" w:rsidRPr="006F1BD7" w:rsidRDefault="00567A1E" w:rsidP="00567A1E">
                <w:pPr>
                  <w:jc w:val="center"/>
                  <w:rPr>
                    <w:b/>
                    <w:sz w:val="24"/>
                    <w:szCs w:val="24"/>
                  </w:rPr>
                </w:pPr>
                <w:r>
                  <w:rPr>
                    <w:b/>
                    <w:sz w:val="24"/>
                    <w:szCs w:val="24"/>
                  </w:rPr>
                  <w:t>Section 9.G</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567A1E" w:rsidTr="00567A1E">
      <w:tc>
        <w:tcPr>
          <w:tcW w:w="3258" w:type="dxa"/>
        </w:tcPr>
        <w:p w:rsidR="00567A1E" w:rsidRDefault="00567A1E" w:rsidP="00567A1E">
          <w:pPr>
            <w:pStyle w:val="Footer"/>
          </w:pPr>
          <w:r>
            <w:t>Control Room Operations Manual</w:t>
          </w:r>
        </w:p>
      </w:tc>
      <w:tc>
        <w:tcPr>
          <w:tcW w:w="3126" w:type="dxa"/>
        </w:tcPr>
        <w:p w:rsidR="00567A1E" w:rsidRDefault="00567A1E" w:rsidP="00567A1E">
          <w:pPr>
            <w:pStyle w:val="Footer"/>
            <w:jc w:val="center"/>
          </w:pPr>
          <w:r>
            <w:t>July 2014</w:t>
          </w:r>
        </w:p>
      </w:tc>
      <w:tc>
        <w:tcPr>
          <w:tcW w:w="3192" w:type="dxa"/>
        </w:tcPr>
        <w:p w:rsidR="00567A1E" w:rsidRDefault="00567A1E" w:rsidP="00567A1E">
          <w:pPr>
            <w:pStyle w:val="Footer"/>
          </w:pPr>
        </w:p>
      </w:tc>
    </w:tr>
  </w:tbl>
  <w:p w:rsidR="00567A1E" w:rsidRDefault="00567A1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7A1E" w:rsidRDefault="00567A1E" w:rsidP="00567A1E">
      <w:pPr>
        <w:spacing w:after="0" w:line="240" w:lineRule="auto"/>
      </w:pPr>
      <w:r>
        <w:separator/>
      </w:r>
    </w:p>
  </w:footnote>
  <w:footnote w:type="continuationSeparator" w:id="0">
    <w:p w:rsidR="00567A1E" w:rsidRDefault="00567A1E" w:rsidP="00567A1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7A1E" w:rsidRPr="00B613F9" w:rsidRDefault="00567A1E" w:rsidP="00567A1E">
    <w:pPr>
      <w:jc w:val="right"/>
      <w:rPr>
        <w:sz w:val="48"/>
        <w:szCs w:val="48"/>
      </w:rPr>
    </w:pPr>
    <w:r>
      <w:rPr>
        <w:noProof/>
        <w:sz w:val="48"/>
        <w:szCs w:val="48"/>
      </w:rPr>
      <w:pict>
        <v:shapetype id="_x0000_t32" coordsize="21600,21600" o:spt="32" o:oned="t" path="m,l21600,21600e" filled="f">
          <v:path arrowok="t" fillok="f" o:connecttype="none"/>
          <o:lock v:ext="edit" shapetype="t"/>
        </v:shapetype>
        <v:shape id="_x0000_s5122" type="#_x0000_t32" style="position:absolute;left:0;text-align:left;margin-left:75pt;margin-top:28.5pt;width:392.25pt;height:.05pt;flip:x;z-index:251662336" o:connectortype="straight"/>
      </w:pict>
    </w:r>
    <w:r>
      <w:rPr>
        <w:noProof/>
      </w:rPr>
      <w:drawing>
        <wp:anchor distT="0" distB="0" distL="114300" distR="114300" simplePos="0" relativeHeight="251663360"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7"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Pr>
        <w:sz w:val="48"/>
        <w:szCs w:val="48"/>
      </w:rPr>
      <w:t xml:space="preserve"> Emergency Alternate Route Guides</w:t>
    </w:r>
  </w:p>
  <w:p w:rsidR="00567A1E" w:rsidRDefault="00567A1E" w:rsidP="00567A1E">
    <w:pPr>
      <w:pStyle w:val="Header"/>
    </w:pPr>
  </w:p>
  <w:p w:rsidR="00567A1E" w:rsidRDefault="00567A1E">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9"/>
  <w:proofState w:spelling="clean" w:grammar="clean"/>
  <w:defaultTabStop w:val="720"/>
  <w:characterSpacingControl w:val="doNotCompress"/>
  <w:hdrShapeDefaults>
    <o:shapedefaults v:ext="edit" spidmax="5123"/>
    <o:shapelayout v:ext="edit">
      <o:idmap v:ext="edit" data="5"/>
      <o:rules v:ext="edit">
        <o:r id="V:Rule1" type="connector" idref="#_x0000_s5122"/>
      </o:rules>
    </o:shapelayout>
  </w:hdrShapeDefaults>
  <w:footnotePr>
    <w:footnote w:id="-1"/>
    <w:footnote w:id="0"/>
  </w:footnotePr>
  <w:endnotePr>
    <w:endnote w:id="-1"/>
    <w:endnote w:id="0"/>
  </w:endnotePr>
  <w:compat/>
  <w:rsids>
    <w:rsidRoot w:val="0037283C"/>
    <w:rsid w:val="00187ED5"/>
    <w:rsid w:val="00192205"/>
    <w:rsid w:val="002D0EF0"/>
    <w:rsid w:val="0037283C"/>
    <w:rsid w:val="00427CD1"/>
    <w:rsid w:val="004A6002"/>
    <w:rsid w:val="004E7394"/>
    <w:rsid w:val="005145B1"/>
    <w:rsid w:val="00567A1E"/>
    <w:rsid w:val="00570647"/>
    <w:rsid w:val="00596789"/>
    <w:rsid w:val="00714D95"/>
    <w:rsid w:val="00836545"/>
    <w:rsid w:val="0097395F"/>
    <w:rsid w:val="00987138"/>
    <w:rsid w:val="00B42AF1"/>
    <w:rsid w:val="00C67DD9"/>
    <w:rsid w:val="00D94232"/>
    <w:rsid w:val="00DC104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7DD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8713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7138"/>
    <w:rPr>
      <w:rFonts w:ascii="Tahoma" w:hAnsi="Tahoma" w:cs="Tahoma"/>
      <w:sz w:val="16"/>
      <w:szCs w:val="16"/>
    </w:rPr>
  </w:style>
  <w:style w:type="paragraph" w:styleId="Header">
    <w:name w:val="header"/>
    <w:basedOn w:val="Normal"/>
    <w:link w:val="HeaderChar"/>
    <w:uiPriority w:val="99"/>
    <w:unhideWhenUsed/>
    <w:rsid w:val="00567A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67A1E"/>
  </w:style>
  <w:style w:type="paragraph" w:styleId="Footer">
    <w:name w:val="footer"/>
    <w:basedOn w:val="Normal"/>
    <w:link w:val="FooterChar"/>
    <w:uiPriority w:val="99"/>
    <w:unhideWhenUsed/>
    <w:rsid w:val="00567A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67A1E"/>
  </w:style>
  <w:style w:type="table" w:styleId="TableGrid">
    <w:name w:val="Table Grid"/>
    <w:basedOn w:val="TableNormal"/>
    <w:uiPriority w:val="59"/>
    <w:rsid w:val="00567A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44BA99-5358-4E77-BF84-F37BD0BFFE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9419600-030C-47ED-84EB-55EBC8B51DD0}">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3.xml><?xml version="1.0" encoding="utf-8"?>
<ds:datastoreItem xmlns:ds="http://schemas.openxmlformats.org/officeDocument/2006/customXml" ds:itemID="{C300F38A-E445-45D9-96CF-F71D72D9077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2</Pages>
  <Words>406</Words>
  <Characters>2317</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2718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mscbab</dc:creator>
  <cp:lastModifiedBy>25765</cp:lastModifiedBy>
  <cp:revision>8</cp:revision>
  <dcterms:created xsi:type="dcterms:W3CDTF">2014-07-15T15:35:00Z</dcterms:created>
  <dcterms:modified xsi:type="dcterms:W3CDTF">2014-07-28T15:44:00Z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